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782C80BF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921032">
        <w:rPr>
          <w:rFonts w:ascii="Garamond" w:hAnsi="Garamond" w:cs="Garamond"/>
          <w:i/>
          <w:iCs/>
        </w:rPr>
        <w:t>16 luglio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5AC00773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B71600">
        <w:rPr>
          <w:rFonts w:ascii="Garamond" w:hAnsi="Garamond" w:cs="Garamond"/>
          <w:i/>
          <w:iCs/>
          <w:sz w:val="20"/>
          <w:szCs w:val="20"/>
        </w:rPr>
        <w:t>1</w:t>
      </w:r>
      <w:r w:rsidR="00921032">
        <w:rPr>
          <w:rFonts w:ascii="Garamond" w:hAnsi="Garamond" w:cs="Garamond"/>
          <w:i/>
          <w:iCs/>
          <w:sz w:val="20"/>
          <w:szCs w:val="20"/>
        </w:rPr>
        <w:t>5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09F93841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921032">
        <w:rPr>
          <w:rFonts w:ascii="Garamond" w:hAnsi="Garamond" w:cs="Garamond"/>
          <w:sz w:val="20"/>
          <w:szCs w:val="20"/>
        </w:rPr>
        <w:t>16 luglio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</w:t>
      </w:r>
      <w:r w:rsidR="00B71600">
        <w:rPr>
          <w:rFonts w:ascii="Garamond" w:hAnsi="Garamond" w:cs="Garamond"/>
          <w:sz w:val="20"/>
          <w:szCs w:val="20"/>
        </w:rPr>
        <w:t>a seguire del Consiglio Allargato,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921032">
        <w:rPr>
          <w:rFonts w:ascii="Garamond" w:hAnsi="Garamond" w:cs="Garamond"/>
          <w:sz w:val="20"/>
          <w:szCs w:val="20"/>
        </w:rPr>
        <w:t>nell’Aula Informatica il Consiglio</w:t>
      </w:r>
      <w:r>
        <w:rPr>
          <w:rFonts w:ascii="Garamond" w:hAnsi="Garamond" w:cs="Garamond"/>
          <w:sz w:val="20"/>
          <w:szCs w:val="20"/>
        </w:rPr>
        <w:t xml:space="preserve"> del Dipartimento di Giurisprudenza</w:t>
      </w:r>
      <w:r w:rsidR="00517FB3">
        <w:rPr>
          <w:rFonts w:ascii="Garamond" w:hAnsi="Garamond" w:cs="Garamond"/>
          <w:sz w:val="20"/>
          <w:szCs w:val="20"/>
        </w:rPr>
        <w:t xml:space="preserve"> riservato alla sola componente dei docenti di I e II fascia.</w:t>
      </w:r>
      <w:r>
        <w:rPr>
          <w:rFonts w:ascii="Garamond" w:hAnsi="Garamond" w:cs="Garamond"/>
          <w:sz w:val="20"/>
          <w:szCs w:val="20"/>
        </w:rPr>
        <w:t xml:space="preserve"> </w:t>
      </w:r>
    </w:p>
    <w:p w14:paraId="4895F03D" w14:textId="21E212BC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 xml:space="preserve">Sono stati convocati gli aventi diritto con </w:t>
      </w:r>
      <w:r w:rsidR="00921032">
        <w:rPr>
          <w:rFonts w:ascii="Garamond" w:hAnsi="Garamond" w:cs="Garamond"/>
          <w:sz w:val="20"/>
          <w:szCs w:val="20"/>
        </w:rPr>
        <w:t>mail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921032">
        <w:rPr>
          <w:rFonts w:ascii="Garamond" w:hAnsi="Garamond" w:cs="Garamond"/>
          <w:sz w:val="20"/>
          <w:szCs w:val="20"/>
        </w:rPr>
        <w:t>10.07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3AFFAD98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7DB36AEB" w:rsidR="00DB5EA1" w:rsidRDefault="009210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D0AB5D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C965BE" w14:textId="1EEEFD22" w:rsidR="00902D3F" w:rsidRDefault="009210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87AF91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04BB9E8" w14:textId="50B2CBC2" w:rsidR="00902D3F" w:rsidRDefault="009210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4694724" w14:textId="77777777">
        <w:tc>
          <w:tcPr>
            <w:tcW w:w="3794" w:type="dxa"/>
          </w:tcPr>
          <w:p w14:paraId="4823A9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7CB9DC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796FF098" w:rsidR="00454215" w:rsidRDefault="00921032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63C9D1F" w14:textId="77777777">
        <w:tc>
          <w:tcPr>
            <w:tcW w:w="3794" w:type="dxa"/>
          </w:tcPr>
          <w:p w14:paraId="3C1C2CA5" w14:textId="4F1836A9" w:rsidR="00454215" w:rsidRDefault="00454215" w:rsidP="00454215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C05DAFA" w14:textId="77777777">
        <w:tc>
          <w:tcPr>
            <w:tcW w:w="3794" w:type="dxa"/>
          </w:tcPr>
          <w:p w14:paraId="40ABFEF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D8CB8CA" w14:textId="77777777">
        <w:tc>
          <w:tcPr>
            <w:tcW w:w="3794" w:type="dxa"/>
          </w:tcPr>
          <w:p w14:paraId="07AE9997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0EED54C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41DB418C" w:rsidR="00454215" w:rsidRDefault="00921032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3E02C89E" w14:textId="77777777">
        <w:tc>
          <w:tcPr>
            <w:tcW w:w="3794" w:type="dxa"/>
          </w:tcPr>
          <w:p w14:paraId="6A99D83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4A0BC93" w14:textId="77777777">
        <w:tc>
          <w:tcPr>
            <w:tcW w:w="3794" w:type="dxa"/>
          </w:tcPr>
          <w:p w14:paraId="0BD73D41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79248A7C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14115CD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2CC9A19E" w14:textId="77777777">
        <w:tc>
          <w:tcPr>
            <w:tcW w:w="3794" w:type="dxa"/>
          </w:tcPr>
          <w:p w14:paraId="71DEE70B" w14:textId="142690F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528DDC0" w14:textId="77777777">
        <w:tc>
          <w:tcPr>
            <w:tcW w:w="3794" w:type="dxa"/>
          </w:tcPr>
          <w:p w14:paraId="556F3BDA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E12BFB0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64D1C22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69BEDFD" w14:textId="77777777">
        <w:tc>
          <w:tcPr>
            <w:tcW w:w="3794" w:type="dxa"/>
          </w:tcPr>
          <w:p w14:paraId="4BCFE4D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1A6035C3" w:rsidR="00454215" w:rsidRDefault="00921032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CB1F7E6" w14:textId="663F02E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80146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7A99B51" w14:textId="77777777">
        <w:tc>
          <w:tcPr>
            <w:tcW w:w="3794" w:type="dxa"/>
          </w:tcPr>
          <w:p w14:paraId="0705E7B1" w14:textId="79E6960E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0572D8D" w14:textId="77777777">
        <w:tc>
          <w:tcPr>
            <w:tcW w:w="7621" w:type="dxa"/>
            <w:gridSpan w:val="4"/>
          </w:tcPr>
          <w:p w14:paraId="40B87B18" w14:textId="42755C9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454215" w14:paraId="41D90BC7" w14:textId="77777777">
        <w:tc>
          <w:tcPr>
            <w:tcW w:w="3794" w:type="dxa"/>
          </w:tcPr>
          <w:p w14:paraId="5564696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0F85C71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78429A0" w14:textId="1A32A050" w:rsidR="00454215" w:rsidRDefault="00921032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343DCC7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27E344C" w14:textId="77777777">
        <w:tc>
          <w:tcPr>
            <w:tcW w:w="3794" w:type="dxa"/>
          </w:tcPr>
          <w:p w14:paraId="417BB66D" w14:textId="02D8C91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BE326A3" w14:textId="77777777">
        <w:tc>
          <w:tcPr>
            <w:tcW w:w="3794" w:type="dxa"/>
          </w:tcPr>
          <w:p w14:paraId="1D519CA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5364740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04ADA84" w14:textId="4FC43371" w:rsidR="00454215" w:rsidRDefault="009413D1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2ADAD6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B1A06BA" w14:textId="77777777">
        <w:tc>
          <w:tcPr>
            <w:tcW w:w="3794" w:type="dxa"/>
          </w:tcPr>
          <w:p w14:paraId="244DEE6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7501848B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232FB49" w14:textId="5646BAE9" w:rsidR="00454215" w:rsidRDefault="009413D1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8DEEC3E" w14:textId="72C7CDA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DD0C733" w14:textId="77777777">
        <w:tc>
          <w:tcPr>
            <w:tcW w:w="3794" w:type="dxa"/>
          </w:tcPr>
          <w:p w14:paraId="4080DF3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53229B46" w14:textId="77777777">
        <w:tc>
          <w:tcPr>
            <w:tcW w:w="3794" w:type="dxa"/>
          </w:tcPr>
          <w:p w14:paraId="5D76D06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6D1EC004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BBFEF66" w14:textId="4F50E2E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500D8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E007BF8" w14:textId="77777777">
        <w:tc>
          <w:tcPr>
            <w:tcW w:w="3794" w:type="dxa"/>
          </w:tcPr>
          <w:p w14:paraId="71ABB9F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5DD220C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02CD360" w14:textId="043228C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2B5A82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9DEC13E" w14:textId="77777777">
        <w:tc>
          <w:tcPr>
            <w:tcW w:w="3794" w:type="dxa"/>
          </w:tcPr>
          <w:p w14:paraId="13A0A9DF" w14:textId="29208C6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7520080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51F9BEF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31EE7CAC" w14:textId="77777777">
        <w:tc>
          <w:tcPr>
            <w:tcW w:w="3794" w:type="dxa"/>
          </w:tcPr>
          <w:p w14:paraId="1FDF3F6A" w14:textId="1136AE73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3EAC1DD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027178D" w14:textId="39AAE72D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6BF3F5C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1DDB38C2" w14:textId="77777777">
        <w:tc>
          <w:tcPr>
            <w:tcW w:w="3794" w:type="dxa"/>
          </w:tcPr>
          <w:p w14:paraId="21A86076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31A332C1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BA3085" w14:textId="5CDED48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5E42E92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2F24F062" w14:textId="77777777">
        <w:tc>
          <w:tcPr>
            <w:tcW w:w="3794" w:type="dxa"/>
          </w:tcPr>
          <w:p w14:paraId="7E1D3A46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1326C086" w14:textId="77777777">
        <w:tc>
          <w:tcPr>
            <w:tcW w:w="3794" w:type="dxa"/>
          </w:tcPr>
          <w:p w14:paraId="3726AA88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05F08DBA" w14:textId="77777777">
        <w:tc>
          <w:tcPr>
            <w:tcW w:w="3794" w:type="dxa"/>
          </w:tcPr>
          <w:p w14:paraId="4A2FD7B7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5B31A948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70585" w14:textId="52106CFB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BABB94C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42C40A6F" w14:textId="77777777">
        <w:tc>
          <w:tcPr>
            <w:tcW w:w="3794" w:type="dxa"/>
          </w:tcPr>
          <w:p w14:paraId="7879C872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0E113C1C" w14:textId="77777777" w:rsidTr="0066105D">
        <w:tc>
          <w:tcPr>
            <w:tcW w:w="3794" w:type="dxa"/>
          </w:tcPr>
          <w:p w14:paraId="75D12B0C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51B2718B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4EF6332" w14:textId="45BAB57E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EBD451E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7F9388D3" w14:textId="77777777">
        <w:tc>
          <w:tcPr>
            <w:tcW w:w="3794" w:type="dxa"/>
          </w:tcPr>
          <w:p w14:paraId="1CDA7A19" w14:textId="0DBE3C2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5711241B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35B601" w14:textId="15BB91F1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0B0B999F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4D555AD3" w14:textId="77777777">
        <w:tc>
          <w:tcPr>
            <w:tcW w:w="3794" w:type="dxa"/>
          </w:tcPr>
          <w:p w14:paraId="463BB817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56F869BE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15C28CE" w14:textId="12FD7C23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796555B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413D1" w14:paraId="464EF3A4" w14:textId="77777777">
        <w:tc>
          <w:tcPr>
            <w:tcW w:w="3794" w:type="dxa"/>
          </w:tcPr>
          <w:p w14:paraId="5E8A3787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9413D1" w:rsidRDefault="009413D1" w:rsidP="009413D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3BA0C01F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416715A2" w:rsidR="00E95335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9413D1">
        <w:rPr>
          <w:rFonts w:ascii="Garamond" w:hAnsi="Garamond" w:cs="Garamond"/>
        </w:rPr>
        <w:t>15:40</w:t>
      </w: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AC7D59E" w14:textId="4FC5147B" w:rsidR="00DB5EA1" w:rsidRPr="00B71600" w:rsidRDefault="00DB5EA1" w:rsidP="00B71600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1A90F493" w14:textId="77777777" w:rsidR="00B71600" w:rsidRPr="009413D1" w:rsidRDefault="00B71600" w:rsidP="00B71600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9413D1">
        <w:rPr>
          <w:rFonts w:ascii="Garamond" w:hAnsi="Garamond"/>
          <w:b/>
        </w:rPr>
        <w:t>Comunicazioni</w:t>
      </w:r>
    </w:p>
    <w:p w14:paraId="46035A02" w14:textId="05D217F0" w:rsidR="00B71600" w:rsidRDefault="009413D1" w:rsidP="00B71600">
      <w:pPr>
        <w:pStyle w:val="Paragrafoelenco"/>
        <w:numPr>
          <w:ilvl w:val="0"/>
          <w:numId w:val="15"/>
        </w:numPr>
        <w:spacing w:after="160" w:line="256" w:lineRule="auto"/>
        <w:ind w:left="1701" w:firstLine="0"/>
        <w:contextualSpacing/>
        <w:rPr>
          <w:rFonts w:ascii="Garamond" w:hAnsi="Garamond"/>
          <w:b/>
        </w:rPr>
      </w:pPr>
      <w:r>
        <w:rPr>
          <w:rFonts w:ascii="Garamond" w:hAnsi="Garamond"/>
          <w:b/>
        </w:rPr>
        <w:t>Autorizzazione incarico esterno – Prof. Simone Vezzani</w:t>
      </w:r>
    </w:p>
    <w:p w14:paraId="67ED0895" w14:textId="37FD8D81" w:rsidR="009413D1" w:rsidRDefault="009413D1" w:rsidP="00B71600">
      <w:pPr>
        <w:pStyle w:val="Paragrafoelenco"/>
        <w:numPr>
          <w:ilvl w:val="0"/>
          <w:numId w:val="15"/>
        </w:numPr>
        <w:spacing w:after="160" w:line="256" w:lineRule="auto"/>
        <w:ind w:left="1701" w:firstLine="0"/>
        <w:contextualSpacing/>
        <w:rPr>
          <w:rFonts w:ascii="Garamond" w:hAnsi="Garamond"/>
          <w:b/>
        </w:rPr>
      </w:pPr>
      <w:r>
        <w:rPr>
          <w:rFonts w:ascii="Garamond" w:hAnsi="Garamond"/>
          <w:b/>
        </w:rPr>
        <w:t>Autorizzazione incarico esterno – Prof.ssa Rossella Fonti</w:t>
      </w:r>
    </w:p>
    <w:p w14:paraId="152A65AF" w14:textId="2892E0E9" w:rsidR="009413D1" w:rsidRPr="009413D1" w:rsidRDefault="009413D1" w:rsidP="00B71600">
      <w:pPr>
        <w:pStyle w:val="Paragrafoelenco"/>
        <w:numPr>
          <w:ilvl w:val="0"/>
          <w:numId w:val="15"/>
        </w:numPr>
        <w:spacing w:after="160" w:line="256" w:lineRule="auto"/>
        <w:ind w:left="1701" w:firstLine="0"/>
        <w:contextualSpacing/>
        <w:rPr>
          <w:rFonts w:ascii="Garamond" w:hAnsi="Garamond"/>
          <w:b/>
        </w:rPr>
      </w:pPr>
      <w:r>
        <w:rPr>
          <w:rFonts w:ascii="Garamond" w:hAnsi="Garamond"/>
          <w:b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EAAB67A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D2B1BBE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9241878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65AADE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54657EE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9D70961" w14:textId="77777777" w:rsidR="00B71600" w:rsidRDefault="00B7160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9CB8F9" w14:textId="77777777" w:rsidR="00454215" w:rsidRPr="00454215" w:rsidRDefault="00454215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BF82FE9" w14:textId="11C12627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E16A21" w14:textId="17B1442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690C060" w14:textId="7A30D06E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0FF3EE" w14:textId="25CB074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8E26D27" w14:textId="21826CE0" w:rsidR="009413D1" w:rsidRDefault="009413D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397A305" w14:textId="77777777" w:rsidR="009413D1" w:rsidRDefault="009413D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680229C5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71600">
        <w:rPr>
          <w:rFonts w:ascii="Garamond" w:hAnsi="Garamond"/>
          <w:b/>
          <w:sz w:val="24"/>
          <w:szCs w:val="24"/>
        </w:rPr>
        <w:t>Comunicazioni</w:t>
      </w:r>
    </w:p>
    <w:p w14:paraId="7B0B5211" w14:textId="3FAF8805" w:rsidR="00E63854" w:rsidRDefault="00B71600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Nessuna comunicazione</w:t>
      </w: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485E8C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5EC081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4C5DF3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AEA3E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9FFB8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F1AD8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F2C019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FFAF47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B4B503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48104E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BB7578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E0F02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ABA48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5786F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7972A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369904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CD086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4A89D5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710F6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F9730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53B5CA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E94494F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BED070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3E432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D99CDA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7832D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746FA3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E7F3B1B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53769813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7B4F9BB" w14:textId="77777777" w:rsidR="009413D1" w:rsidRDefault="009413D1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1537D2E" w14:textId="5EC8ABE0" w:rsidR="00B71600" w:rsidRPr="00B71600" w:rsidRDefault="009413D1" w:rsidP="00B71600">
      <w:pPr>
        <w:pStyle w:val="Paragrafoelenco"/>
        <w:numPr>
          <w:ilvl w:val="0"/>
          <w:numId w:val="44"/>
        </w:numPr>
        <w:spacing w:after="160" w:line="256" w:lineRule="auto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Autorizzazione incarico esterno – Prof. Simone Vezzani</w:t>
      </w:r>
    </w:p>
    <w:p w14:paraId="58DB4758" w14:textId="2CFB1683" w:rsidR="00B71600" w:rsidRDefault="00B71600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162B9CC3" w14:textId="6CE97302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>
        <w:rPr>
          <w:rFonts w:ascii="Garamond" w:eastAsiaTheme="minorEastAsia" w:hAnsi="Garamond" w:cs="kƒI"/>
          <w:iCs/>
        </w:rPr>
        <w:t>Il Presidente, r</w:t>
      </w:r>
      <w:r w:rsidRPr="00537321">
        <w:rPr>
          <w:rFonts w:ascii="Garamond" w:eastAsiaTheme="minorEastAsia" w:hAnsi="Garamond" w:cs="kƒI"/>
          <w:iCs/>
        </w:rPr>
        <w:t>icordato che con DR n. 42 del 19.01.2022 è stato emanato il “Regolamento di Ateneo sui criteri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e le procedure per il rilascio ai professori e ai ricercatori dell'autorizzazione allo svolgimento di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incarichi esterni” entrato in vigore il 19.02.2022;</w:t>
      </w:r>
    </w:p>
    <w:p w14:paraId="4D7AA984" w14:textId="5AA1B304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Preso atto che ai sensi dell’art. 6, comma 3, del Regolamento sopra riportato il Consiglio del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Dipartimento, in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composizione limitata ai professori e ricercatori, è chiamato a formulare il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proprio parere al Rettore al fine del rilascio dell’autorizzazione all’incarico esterno in merito alla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compatibilità dell’incarico stesso con la preminenza degli impegni derivanti dalla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programmazione delle attività didattiche e di ricerca;</w:t>
      </w:r>
    </w:p>
    <w:p w14:paraId="3CCE318C" w14:textId="64CC460B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 xml:space="preserve">Preso atto dell’istanza presentata dal Prof. Simone </w:t>
      </w:r>
      <w:proofErr w:type="gramStart"/>
      <w:r w:rsidRPr="00537321">
        <w:rPr>
          <w:rFonts w:ascii="Garamond" w:eastAsiaTheme="minorEastAsia" w:hAnsi="Garamond" w:cs="kƒI"/>
          <w:iCs/>
        </w:rPr>
        <w:t>Vezzani;.</w:t>
      </w:r>
      <w:proofErr w:type="gramEnd"/>
      <w:r w:rsidRPr="00537321">
        <w:rPr>
          <w:rFonts w:ascii="Garamond" w:eastAsiaTheme="minorEastAsia" w:hAnsi="Garamond" w:cs="kƒI"/>
          <w:iCs/>
        </w:rPr>
        <w:t xml:space="preserve"> in data 12/07/2024 17:19 avente ad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 xml:space="preserve">oggetto </w:t>
      </w:r>
      <w:r>
        <w:rPr>
          <w:rFonts w:ascii="Garamond" w:eastAsiaTheme="minorEastAsia" w:hAnsi="Garamond" w:cs="kƒI"/>
          <w:iCs/>
        </w:rPr>
        <w:t>“I</w:t>
      </w:r>
      <w:r w:rsidRPr="00537321">
        <w:rPr>
          <w:rFonts w:ascii="Garamond" w:eastAsiaTheme="minorEastAsia" w:hAnsi="Garamond" w:cs="kƒI"/>
          <w:iCs/>
        </w:rPr>
        <w:t>nsegnamento di corso di Diritto dell'Unione Europea</w:t>
      </w:r>
      <w:r>
        <w:rPr>
          <w:rFonts w:ascii="Garamond" w:eastAsiaTheme="minorEastAsia" w:hAnsi="Garamond" w:cs="kƒI"/>
          <w:iCs/>
        </w:rPr>
        <w:t>”</w:t>
      </w:r>
      <w:r w:rsidRPr="00537321">
        <w:rPr>
          <w:rFonts w:ascii="Garamond" w:eastAsiaTheme="minorEastAsia" w:hAnsi="Garamond" w:cs="kƒI"/>
          <w:iCs/>
        </w:rPr>
        <w:t xml:space="preserve"> presso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scuola di giornalismo radiotelevisivo” per la quale questo consesso è chiamato ad esprimere il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relativo parere;</w:t>
      </w:r>
    </w:p>
    <w:p w14:paraId="4D4FA080" w14:textId="77777777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Verificate le dichiarazioni del Docente relative a:</w:t>
      </w:r>
    </w:p>
    <w:p w14:paraId="02CD23C6" w14:textId="77777777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Assenza di conflitto di interessi;</w:t>
      </w:r>
    </w:p>
    <w:p w14:paraId="12E20B2B" w14:textId="77777777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Compatibilità con gli impegni istituzionali;</w:t>
      </w:r>
    </w:p>
    <w:p w14:paraId="5ED905BF" w14:textId="5746EFD1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Verificato che il docente ha chiesto l’autorizzazione nel rispetto dell’art. 2 comma 7 del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Regolamento che così dispone: “Al di fuori dei casi nei quali è previsto lo svolgimento di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attività professionale, non è consentito assumere incarichi extraistituzionali che, considerati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complessivamente nell’ambito dell’anno solare, determinino la sussistenza di un’attività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distinta e prevalente sul piano dell’impegno orario rispetto a quella di cui al ruolo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universitario. Per i docenti con impegno a tempo definito la valutazione degli interessi</w:t>
      </w:r>
      <w:r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prevalenti viene effettuata in relazione al regime di impegno.”</w:t>
      </w:r>
    </w:p>
    <w:p w14:paraId="114B958B" w14:textId="4638B7FD" w:rsidR="00537321" w:rsidRP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Sottopone al parere del Consiglio l’istanza presentata dal Prof. Simone Vezzani sopra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richiamata.</w:t>
      </w:r>
    </w:p>
    <w:p w14:paraId="0142A98E" w14:textId="599CB531" w:rsidR="00537321" w:rsidRDefault="00537321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Il Consiglio</w:t>
      </w:r>
      <w:r w:rsidR="00D509B2">
        <w:rPr>
          <w:rFonts w:ascii="Garamond" w:eastAsiaTheme="minorEastAsia" w:hAnsi="Garamond" w:cs="kƒI"/>
          <w:iCs/>
        </w:rPr>
        <w:t>, a</w:t>
      </w:r>
      <w:r w:rsidRPr="00537321">
        <w:rPr>
          <w:rFonts w:ascii="Garamond" w:eastAsiaTheme="minorEastAsia" w:hAnsi="Garamond" w:cs="kƒI"/>
          <w:iCs/>
        </w:rPr>
        <w:t>vendo riscontrato che sussistono i presupposti prescritti dal Regolamento richiamato in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oggetto per l'autorizzazione all'espletamento dell'incarico suddetto, all’unanimità, alla luce di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tutto quanto esposto dal Presidente ed integralmente richiamato, nella seduta del 16/07/2024</w:t>
      </w:r>
    </w:p>
    <w:p w14:paraId="6BDFFD5A" w14:textId="77777777" w:rsidR="00D509B2" w:rsidRPr="00537321" w:rsidRDefault="00D509B2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</w:p>
    <w:p w14:paraId="4CCDB719" w14:textId="0B075CC3" w:rsidR="00537321" w:rsidRPr="00D509B2" w:rsidRDefault="00537321" w:rsidP="00D509B2">
      <w:pPr>
        <w:autoSpaceDE w:val="0"/>
        <w:autoSpaceDN w:val="0"/>
        <w:adjustRightInd w:val="0"/>
        <w:jc w:val="center"/>
        <w:rPr>
          <w:rFonts w:ascii="Garamond" w:eastAsiaTheme="minorEastAsia" w:hAnsi="Garamond" w:cs="kƒI"/>
          <w:b/>
          <w:iCs/>
        </w:rPr>
      </w:pPr>
      <w:r w:rsidRPr="00D509B2">
        <w:rPr>
          <w:rFonts w:ascii="Garamond" w:eastAsiaTheme="minorEastAsia" w:hAnsi="Garamond" w:cs="kƒI"/>
          <w:b/>
          <w:iCs/>
        </w:rPr>
        <w:t>DELIBERA</w:t>
      </w:r>
    </w:p>
    <w:p w14:paraId="347E4A15" w14:textId="77777777" w:rsidR="00D509B2" w:rsidRPr="00537321" w:rsidRDefault="00D509B2" w:rsidP="00537321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</w:p>
    <w:p w14:paraId="379B5F81" w14:textId="1DFF1B14" w:rsidR="00537321" w:rsidRPr="00D509B2" w:rsidRDefault="00537321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kƒI"/>
          <w:iCs/>
        </w:rPr>
      </w:pPr>
      <w:r w:rsidRPr="00537321">
        <w:rPr>
          <w:rFonts w:ascii="Garamond" w:eastAsiaTheme="minorEastAsia" w:hAnsi="Garamond" w:cs="kƒI"/>
          <w:iCs/>
        </w:rPr>
        <w:t>di esprimere parere positivo relativamente alla richiesta di autorizzazione del Prof. Simone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Vezzani a svolgere l’incarico esterno insegnamento di corso di Diritto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dell'Unione Europea presso scuola di giornalismo radiotelevisivo” conferito da Centro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537321">
        <w:rPr>
          <w:rFonts w:ascii="Garamond" w:eastAsiaTheme="minorEastAsia" w:hAnsi="Garamond" w:cs="kƒI"/>
          <w:iCs/>
        </w:rPr>
        <w:t>formazione giornalismo radiotelevisivo presso Centro Italiano di Studi Superiori per la</w:t>
      </w:r>
      <w:r w:rsidR="00D509B2">
        <w:rPr>
          <w:rFonts w:ascii="Garamond" w:eastAsiaTheme="minorEastAsia" w:hAnsi="Garamond" w:cs="kƒI"/>
          <w:iCs/>
        </w:rPr>
        <w:t xml:space="preserve"> </w:t>
      </w:r>
      <w:r w:rsidRPr="00D509B2">
        <w:rPr>
          <w:rFonts w:ascii="Garamond" w:eastAsiaTheme="minorEastAsia" w:hAnsi="Garamond" w:cs="kƒI"/>
          <w:iCs/>
        </w:rPr>
        <w:t>Formazione e l’Aggiornamento in Giornalismo Radiotelevisivo dal 01/01/2025 al 30/04/2025.</w:t>
      </w:r>
    </w:p>
    <w:p w14:paraId="6B19B2DD" w14:textId="53EFC93C" w:rsidR="00DA4ABD" w:rsidRPr="00537321" w:rsidRDefault="00DA4ABD" w:rsidP="00537321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Pr="00537321" w:rsidRDefault="00DA4ABD" w:rsidP="00537321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Pr="00537321" w:rsidRDefault="00DA4ABD" w:rsidP="00537321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Pr="00537321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Pr="00537321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Pr="00537321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Pr="00537321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Pr="00537321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Pr="00537321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Pr="00537321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5EBE845D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E8C32B" w14:textId="75942B39" w:rsidR="00D509B2" w:rsidRDefault="00D509B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04B2B68" w14:textId="6ECD1ECD" w:rsidR="00D509B2" w:rsidRDefault="00D509B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E239F80" w14:textId="47AAC33F" w:rsidR="00D509B2" w:rsidRDefault="00D509B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D11283E" w14:textId="1641C2FE" w:rsidR="00D509B2" w:rsidRDefault="00D509B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E25679" w14:textId="77777777" w:rsidR="00D509B2" w:rsidRPr="00537321" w:rsidRDefault="00D509B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Pr="00537321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44DD32D5" w:rsidR="00FE5B72" w:rsidRPr="00537321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F3DC2F" w14:textId="4A52E9DD" w:rsidR="009413D1" w:rsidRPr="0053732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E2A79D" w14:textId="37451431" w:rsidR="009413D1" w:rsidRPr="0053732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02473B0" w14:textId="4177299D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3843D7C" w14:textId="5E0E20B8" w:rsidR="009413D1" w:rsidRPr="009413D1" w:rsidRDefault="009413D1" w:rsidP="009413D1">
      <w:pPr>
        <w:pStyle w:val="Paragrafoelenco"/>
        <w:numPr>
          <w:ilvl w:val="0"/>
          <w:numId w:val="44"/>
        </w:num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  <w:b/>
          <w:sz w:val="22"/>
          <w:szCs w:val="22"/>
        </w:rPr>
      </w:pPr>
      <w:r w:rsidRPr="009413D1">
        <w:rPr>
          <w:rFonts w:ascii="Garamond" w:hAnsi="Garamond" w:cs="Garamond"/>
          <w:b/>
          <w:sz w:val="22"/>
          <w:szCs w:val="22"/>
        </w:rPr>
        <w:lastRenderedPageBreak/>
        <w:t>Autorizzazione incarico esterno – Prof.ssa Rossella Fonti</w:t>
      </w:r>
    </w:p>
    <w:p w14:paraId="139775FF" w14:textId="34968244" w:rsidR="009413D1" w:rsidRP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  <w:b/>
          <w:sz w:val="22"/>
          <w:szCs w:val="22"/>
        </w:rPr>
      </w:pPr>
    </w:p>
    <w:p w14:paraId="52234830" w14:textId="216015FB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>
        <w:rPr>
          <w:rFonts w:ascii="Garamond" w:eastAsiaTheme="minorEastAsia" w:hAnsi="Garamond" w:cs="@e'91I"/>
          <w:iCs/>
        </w:rPr>
        <w:t>Il Presidente, r</w:t>
      </w:r>
      <w:r w:rsidRPr="00D509B2">
        <w:rPr>
          <w:rFonts w:ascii="Garamond" w:eastAsiaTheme="minorEastAsia" w:hAnsi="Garamond" w:cs="@e'91I"/>
          <w:iCs/>
        </w:rPr>
        <w:t xml:space="preserve">icordato che con DR n. 42 del 19.01.2022 è stato emanato il “Regolamento di Ateneo sui </w:t>
      </w:r>
      <w:proofErr w:type="spellStart"/>
      <w:r w:rsidRPr="00D509B2">
        <w:rPr>
          <w:rFonts w:ascii="Garamond" w:eastAsiaTheme="minorEastAsia" w:hAnsi="Garamond" w:cs="@e'91I"/>
          <w:iCs/>
        </w:rPr>
        <w:t>criterie</w:t>
      </w:r>
      <w:proofErr w:type="spellEnd"/>
      <w:r w:rsidRPr="00D509B2">
        <w:rPr>
          <w:rFonts w:ascii="Garamond" w:eastAsiaTheme="minorEastAsia" w:hAnsi="Garamond" w:cs="@e'91I"/>
          <w:iCs/>
        </w:rPr>
        <w:t xml:space="preserve"> le procedure per il rilascio ai professori e ai ricercatori dell'autorizzazione allo svolgimento di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incarichi esterni” entrato in vigore il 19.02.2022;</w:t>
      </w:r>
    </w:p>
    <w:p w14:paraId="0338ED86" w14:textId="65E59828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Preso atto che ai sensi dell’art. 6, comma 3, del Regolamento sopra riportato il Consiglio del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Dipartimento, in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composizione limitata ai professori e ricercatori, è chiamato a formulare il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proprio parere al Rettore al fine del rilascio dell’autorizzazione all’incarico esterno in merito alla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compatibilità dell’incarico stesso con la preminenza degli impegni derivanti dalla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programmazione delle attività didattiche e di ricerca;</w:t>
      </w:r>
    </w:p>
    <w:p w14:paraId="55FAEF85" w14:textId="2554FD3D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Preso atto dell’istanza presentata dalla Prof.ssa Rossella Fo</w:t>
      </w:r>
      <w:r>
        <w:rPr>
          <w:rFonts w:ascii="Garamond" w:eastAsiaTheme="minorEastAsia" w:hAnsi="Garamond" w:cs="@e'91I"/>
          <w:iCs/>
        </w:rPr>
        <w:t>nti</w:t>
      </w:r>
      <w:r w:rsidRPr="00D509B2">
        <w:rPr>
          <w:rFonts w:ascii="Garamond" w:eastAsiaTheme="minorEastAsia" w:hAnsi="Garamond" w:cs="@e'91I"/>
          <w:iCs/>
        </w:rPr>
        <w:t xml:space="preserve"> in data 13/07/2024 15:29 avente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ad oggetto “Docenza del Corso "Diritto penale" nell'ambito del XVII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Biennio della Scuola di Giornalismo Radiotelevisivo. Lezioni di diritto e procedura penale” per la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quale questo consesso è chiamato ad esprimere il relativo parere;</w:t>
      </w:r>
    </w:p>
    <w:p w14:paraId="16C3AE31" w14:textId="77777777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Verificate le dichiarazioni del Docente relative a:</w:t>
      </w:r>
    </w:p>
    <w:p w14:paraId="6BFE3E5A" w14:textId="77777777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Assenza di conflitto di interessi;</w:t>
      </w:r>
    </w:p>
    <w:p w14:paraId="13AAF783" w14:textId="77777777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Compatibilità con gli impegni istituzionali;</w:t>
      </w:r>
    </w:p>
    <w:p w14:paraId="110BA987" w14:textId="31CD387E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Verificato che il docente ha chiesto l’autorizzazione nel rispetto dell’art. 2 comma 7 del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Regolamento che così dispone: “Al di fuori dei casi nei quali è previsto lo svolgimento di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attività professionale, non è consentito assumere incarichi extraistituzionali che, considerati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complessivamente nell’ambito dell’anno solare, determinino la sussistenza di un’attività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distinta e prevalente sul piano dell’impegno orario rispetto a quella di cui al ruolo</w:t>
      </w:r>
    </w:p>
    <w:p w14:paraId="6FA557FC" w14:textId="0E2E737F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universitario. Per i docenti con impegno a tempo definito la valutazione degli interessi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prevalenti viene effettuata in relazione al regime di impegno.”</w:t>
      </w:r>
    </w:p>
    <w:p w14:paraId="25E11CCC" w14:textId="683C56A4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Sottopone al parere del Consiglio l’istanza presentata dalla Prof.ssa Rossella Fonti sopra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richiamata.</w:t>
      </w:r>
    </w:p>
    <w:p w14:paraId="266744C4" w14:textId="5C2CEA80" w:rsidR="00D509B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Il Consiglio</w:t>
      </w:r>
      <w:r>
        <w:rPr>
          <w:rFonts w:ascii="Garamond" w:eastAsiaTheme="minorEastAsia" w:hAnsi="Garamond" w:cs="@e'91I"/>
          <w:iCs/>
        </w:rPr>
        <w:t>, a</w:t>
      </w:r>
      <w:r w:rsidRPr="00D509B2">
        <w:rPr>
          <w:rFonts w:ascii="Garamond" w:eastAsiaTheme="minorEastAsia" w:hAnsi="Garamond" w:cs="@e'91I"/>
          <w:iCs/>
        </w:rPr>
        <w:t>vendo riscontrato che sussistono i presupposti prescritti dal Regolamento richiamato in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oggetto per l'autorizzazione all'espletamento dell'incarico suddetto, all’unanimità, alla luce di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tutto quanto esposto dal Presidente ed integralmente richiamato, nella seduta del 16/07/2024</w:t>
      </w:r>
    </w:p>
    <w:p w14:paraId="54546464" w14:textId="77777777" w:rsid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</w:p>
    <w:p w14:paraId="5D297BEB" w14:textId="422D0638" w:rsidR="00D509B2" w:rsidRPr="00D509B2" w:rsidRDefault="00D509B2" w:rsidP="00D509B2">
      <w:pPr>
        <w:autoSpaceDE w:val="0"/>
        <w:autoSpaceDN w:val="0"/>
        <w:adjustRightInd w:val="0"/>
        <w:jc w:val="center"/>
        <w:rPr>
          <w:rFonts w:ascii="Garamond" w:eastAsiaTheme="minorEastAsia" w:hAnsi="Garamond" w:cs="@e'91I"/>
          <w:b/>
          <w:iCs/>
        </w:rPr>
      </w:pPr>
      <w:r w:rsidRPr="00D509B2">
        <w:rPr>
          <w:rFonts w:ascii="Garamond" w:eastAsiaTheme="minorEastAsia" w:hAnsi="Garamond" w:cs="@e'91I"/>
          <w:b/>
          <w:iCs/>
        </w:rPr>
        <w:t>DELIBERA</w:t>
      </w:r>
    </w:p>
    <w:p w14:paraId="35722C26" w14:textId="77777777" w:rsid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</w:p>
    <w:p w14:paraId="2B244BEC" w14:textId="2F9D46C5" w:rsidR="00FE5B72" w:rsidRPr="00D509B2" w:rsidRDefault="00D509B2" w:rsidP="00D509B2">
      <w:pPr>
        <w:autoSpaceDE w:val="0"/>
        <w:autoSpaceDN w:val="0"/>
        <w:adjustRightInd w:val="0"/>
        <w:jc w:val="both"/>
        <w:rPr>
          <w:rFonts w:ascii="Garamond" w:eastAsiaTheme="minorEastAsia" w:hAnsi="Garamond" w:cs="@e'91I"/>
          <w:iCs/>
        </w:rPr>
      </w:pPr>
      <w:r w:rsidRPr="00D509B2">
        <w:rPr>
          <w:rFonts w:ascii="Garamond" w:eastAsiaTheme="minorEastAsia" w:hAnsi="Garamond" w:cs="@e'91I"/>
          <w:iCs/>
        </w:rPr>
        <w:t>di esprimere parere positivo relativamente alla richiesta di autorizzazione della Prof.ssa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Rossella Fonti a svolgere l’incarico esterno “Docenza del Corso "Diritto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penale" nell'ambito del XVII Biennio della Scuola di Giornalismo Radiotelevisivo. Lezioni di diritto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e procedura penale” conferito da Centro Italiano di Studi Superiori per la Formazione e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l’Aggiornamento in Giornalismo Radiotelevisivo presso Centro Italiano di Studi Superiori per la</w:t>
      </w:r>
      <w:r>
        <w:rPr>
          <w:rFonts w:ascii="Garamond" w:eastAsiaTheme="minorEastAsia" w:hAnsi="Garamond" w:cs="@e'91I"/>
          <w:iCs/>
        </w:rPr>
        <w:t xml:space="preserve"> </w:t>
      </w:r>
      <w:r w:rsidRPr="00D509B2">
        <w:rPr>
          <w:rFonts w:ascii="Garamond" w:eastAsiaTheme="minorEastAsia" w:hAnsi="Garamond" w:cs="@e'91I"/>
          <w:iCs/>
        </w:rPr>
        <w:t>Formazione e l’Aggiornamento in Giornalismo Radiotelevisivo dal 07/10/2024 al 30/11/2024</w:t>
      </w:r>
    </w:p>
    <w:p w14:paraId="0C58843F" w14:textId="5F0A29D4" w:rsidR="00957489" w:rsidRPr="00D509B2" w:rsidRDefault="00957489" w:rsidP="00D509B2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3F394F1" w14:textId="52A59CBE" w:rsidR="009413D1" w:rsidRPr="00D509B2" w:rsidRDefault="009413D1" w:rsidP="00D509B2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67B11E5" w14:textId="2A6A551C" w:rsidR="009413D1" w:rsidRPr="00D509B2" w:rsidRDefault="009413D1" w:rsidP="00D509B2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4C4FE19F" w14:textId="2F8F716C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CFEFBDA" w14:textId="4D1095D6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0512310" w14:textId="13BADB02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2708611" w14:textId="31D3DF57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2BEA0C" w14:textId="37BE85E2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322F96F" w14:textId="0FC7D1FF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FCFDFBA" w14:textId="64C6D655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B196D25" w14:textId="597CFE5B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36C1B3" w14:textId="6EB1C54B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4EAC336" w14:textId="2D4FB6ED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296070" w14:textId="5C658752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E053E70" w14:textId="6A392CDF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E7B4D37" w14:textId="4B4E0787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B83AA00" w14:textId="551D8150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7F6C68E" w14:textId="012C3664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2F5706" w14:textId="6B2A3999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F0A5AB" w14:textId="241075C0" w:rsidR="009413D1" w:rsidRDefault="009413D1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712FAE" w14:textId="4E4B4500" w:rsidR="003B0CF0" w:rsidRPr="009413D1" w:rsidRDefault="003B0CF0" w:rsidP="009413D1">
      <w:pPr>
        <w:pStyle w:val="Paragrafoelenco"/>
        <w:numPr>
          <w:ilvl w:val="0"/>
          <w:numId w:val="45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4"/>
          <w:szCs w:val="24"/>
        </w:rPr>
      </w:pPr>
      <w:bookmarkStart w:id="0" w:name="_GoBack"/>
      <w:bookmarkEnd w:id="0"/>
      <w:r w:rsidRPr="009413D1">
        <w:rPr>
          <w:rFonts w:ascii="Garamond" w:hAnsi="Garamond" w:cs="Garamond"/>
          <w:b/>
          <w:sz w:val="24"/>
          <w:szCs w:val="24"/>
        </w:rPr>
        <w:lastRenderedPageBreak/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77777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502BBCA9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B71600">
        <w:rPr>
          <w:rFonts w:ascii="Garamond" w:hAnsi="Garamond" w:cs="Garamond"/>
        </w:rPr>
        <w:t>1</w:t>
      </w:r>
      <w:r w:rsidR="009413D1">
        <w:rPr>
          <w:rFonts w:ascii="Garamond" w:hAnsi="Garamond" w:cs="Garamond"/>
        </w:rPr>
        <w:t>5</w:t>
      </w:r>
      <w:r w:rsidR="00B71600">
        <w:rPr>
          <w:rFonts w:ascii="Garamond" w:hAnsi="Garamond" w:cs="Garamond"/>
        </w:rPr>
        <w:t>:5</w:t>
      </w:r>
      <w:r w:rsidR="009413D1">
        <w:rPr>
          <w:rFonts w:ascii="Garamond" w:hAnsi="Garamond" w:cs="Garamond"/>
        </w:rPr>
        <w:t>3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04B0EFF1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9413D1">
        <w:rPr>
          <w:rFonts w:ascii="Garamond" w:hAnsi="Garamond" w:cs="Garamond"/>
        </w:rPr>
        <w:t>16.07</w:t>
      </w:r>
      <w:r w:rsidR="00B71600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B5096" w14:textId="77777777" w:rsidR="00F30DB1" w:rsidRDefault="00F30DB1">
      <w:r>
        <w:separator/>
      </w:r>
    </w:p>
  </w:endnote>
  <w:endnote w:type="continuationSeparator" w:id="0">
    <w:p w14:paraId="7DDE8142" w14:textId="77777777" w:rsidR="00F30DB1" w:rsidRDefault="00F3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kƒI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@e'91I">
    <w:altName w:val="Calibri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C7463" w14:textId="77777777" w:rsidR="00F30DB1" w:rsidRDefault="00F30DB1">
      <w:r>
        <w:separator/>
      </w:r>
    </w:p>
  </w:footnote>
  <w:footnote w:type="continuationSeparator" w:id="0">
    <w:p w14:paraId="5BA1F34F" w14:textId="77777777" w:rsidR="00F30DB1" w:rsidRDefault="00F30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0E604FC7" w:rsidR="008B0B32" w:rsidRDefault="00F30DB1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82720279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</w:t>
    </w:r>
    <w:r w:rsidR="00B71600">
      <w:rPr>
        <w:rFonts w:ascii="Verdana" w:hAnsi="Verdana" w:cs="Verdana"/>
        <w:i/>
        <w:iCs/>
        <w:sz w:val="10"/>
        <w:szCs w:val="10"/>
      </w:rPr>
      <w:t>1</w:t>
    </w:r>
    <w:r w:rsidR="00921032">
      <w:rPr>
        <w:rFonts w:ascii="Verdana" w:hAnsi="Verdana" w:cs="Verdana"/>
        <w:i/>
        <w:iCs/>
        <w:sz w:val="10"/>
        <w:szCs w:val="10"/>
      </w:rPr>
      <w:t>5</w:t>
    </w:r>
    <w:r w:rsidR="008B0B32">
      <w:rPr>
        <w:rFonts w:ascii="Verdana" w:hAnsi="Verdana" w:cs="Verdana"/>
        <w:i/>
        <w:iCs/>
        <w:sz w:val="10"/>
        <w:szCs w:val="10"/>
      </w:rPr>
      <w:t xml:space="preserve">-2024 DEL </w:t>
    </w:r>
    <w:r w:rsidR="00921032">
      <w:rPr>
        <w:rFonts w:ascii="Verdana" w:hAnsi="Verdana" w:cs="Verdana"/>
        <w:i/>
        <w:iCs/>
        <w:sz w:val="10"/>
        <w:szCs w:val="10"/>
      </w:rPr>
      <w:t>16.07</w:t>
    </w:r>
    <w:r w:rsidR="008B0B32">
      <w:rPr>
        <w:rFonts w:ascii="Verdana" w:hAnsi="Verdana" w:cs="Verdana"/>
        <w:i/>
        <w:iCs/>
        <w:sz w:val="10"/>
        <w:szCs w:val="10"/>
      </w:rPr>
      <w:t xml:space="preserve">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2CE8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D5CBF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2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14185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9D7BA3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B01EF6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1F393C"/>
    <w:multiLevelType w:val="hybridMultilevel"/>
    <w:tmpl w:val="F8CC3554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25D95"/>
    <w:multiLevelType w:val="hybridMultilevel"/>
    <w:tmpl w:val="F7AC2EB4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8422A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965DA8"/>
    <w:multiLevelType w:val="hybridMultilevel"/>
    <w:tmpl w:val="40BA6FC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46085"/>
    <w:multiLevelType w:val="hybridMultilevel"/>
    <w:tmpl w:val="8C32F578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912A4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B79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8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952B8"/>
    <w:multiLevelType w:val="hybridMultilevel"/>
    <w:tmpl w:val="2962F3F4"/>
    <w:lvl w:ilvl="0" w:tplc="5908F0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E1A58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565D0297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6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B139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>
      <w:start w:val="4"/>
      <w:numFmt w:val="bullet"/>
      <w:lvlText w:val="-"/>
      <w:lvlJc w:val="left"/>
      <w:pPr>
        <w:ind w:left="3501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38" w15:restartNumberingAfterBreak="0">
    <w:nsid w:val="5E287274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862F9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41" w15:restartNumberingAfterBreak="0">
    <w:nsid w:val="6DBA52F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3" w15:restartNumberingAfterBreak="0">
    <w:nsid w:val="79C30A8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0"/>
  </w:num>
  <w:num w:numId="3">
    <w:abstractNumId w:val="1"/>
  </w:num>
  <w:num w:numId="4">
    <w:abstractNumId w:val="12"/>
  </w:num>
  <w:num w:numId="5">
    <w:abstractNumId w:val="33"/>
  </w:num>
  <w:num w:numId="6">
    <w:abstractNumId w:val="29"/>
  </w:num>
  <w:num w:numId="7">
    <w:abstractNumId w:val="3"/>
  </w:num>
  <w:num w:numId="8">
    <w:abstractNumId w:val="4"/>
  </w:num>
  <w:num w:numId="9">
    <w:abstractNumId w:val="31"/>
  </w:num>
  <w:num w:numId="10">
    <w:abstractNumId w:val="30"/>
  </w:num>
  <w:num w:numId="11">
    <w:abstractNumId w:val="9"/>
  </w:num>
  <w:num w:numId="12">
    <w:abstractNumId w:val="42"/>
  </w:num>
  <w:num w:numId="13">
    <w:abstractNumId w:val="28"/>
  </w:num>
  <w:num w:numId="14">
    <w:abstractNumId w:val="27"/>
  </w:num>
  <w:num w:numId="15">
    <w:abstractNumId w:val="5"/>
  </w:num>
  <w:num w:numId="16">
    <w:abstractNumId w:val="36"/>
  </w:num>
  <w:num w:numId="17">
    <w:abstractNumId w:val="20"/>
  </w:num>
  <w:num w:numId="18">
    <w:abstractNumId w:val="26"/>
  </w:num>
  <w:num w:numId="19">
    <w:abstractNumId w:val="7"/>
  </w:num>
  <w:num w:numId="20">
    <w:abstractNumId w:val="6"/>
  </w:num>
  <w:num w:numId="21">
    <w:abstractNumId w:val="11"/>
  </w:num>
  <w:num w:numId="22">
    <w:abstractNumId w:val="40"/>
  </w:num>
  <w:num w:numId="23">
    <w:abstractNumId w:val="13"/>
  </w:num>
  <w:num w:numId="24">
    <w:abstractNumId w:val="10"/>
  </w:num>
  <w:num w:numId="25">
    <w:abstractNumId w:val="2"/>
  </w:num>
  <w:num w:numId="26">
    <w:abstractNumId w:val="21"/>
  </w:num>
  <w:num w:numId="27">
    <w:abstractNumId w:val="28"/>
  </w:num>
  <w:num w:numId="28">
    <w:abstractNumId w:val="14"/>
  </w:num>
  <w:num w:numId="29">
    <w:abstractNumId w:val="25"/>
  </w:num>
  <w:num w:numId="30">
    <w:abstractNumId w:val="39"/>
  </w:num>
  <w:num w:numId="31">
    <w:abstractNumId w:val="19"/>
  </w:num>
  <w:num w:numId="32">
    <w:abstractNumId w:val="43"/>
  </w:num>
  <w:num w:numId="33">
    <w:abstractNumId w:val="16"/>
  </w:num>
  <w:num w:numId="34">
    <w:abstractNumId w:val="8"/>
  </w:num>
  <w:num w:numId="35">
    <w:abstractNumId w:val="22"/>
  </w:num>
  <w:num w:numId="36">
    <w:abstractNumId w:val="15"/>
  </w:num>
  <w:num w:numId="37">
    <w:abstractNumId w:val="41"/>
  </w:num>
  <w:num w:numId="38">
    <w:abstractNumId w:val="32"/>
  </w:num>
  <w:num w:numId="39">
    <w:abstractNumId w:val="24"/>
  </w:num>
  <w:num w:numId="40">
    <w:abstractNumId w:val="23"/>
  </w:num>
  <w:num w:numId="41">
    <w:abstractNumId w:val="38"/>
  </w:num>
  <w:num w:numId="42">
    <w:abstractNumId w:val="37"/>
  </w:num>
  <w:num w:numId="43">
    <w:abstractNumId w:val="34"/>
  </w:num>
  <w:num w:numId="44">
    <w:abstractNumId w:val="17"/>
  </w:num>
  <w:num w:numId="4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23251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17E"/>
    <w:rsid w:val="000778D9"/>
    <w:rsid w:val="00080BD1"/>
    <w:rsid w:val="00082361"/>
    <w:rsid w:val="00085DAC"/>
    <w:rsid w:val="00096737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377A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636"/>
    <w:rsid w:val="003B0CF0"/>
    <w:rsid w:val="003B3B60"/>
    <w:rsid w:val="003B4670"/>
    <w:rsid w:val="003B4C33"/>
    <w:rsid w:val="003B4D6F"/>
    <w:rsid w:val="003B576F"/>
    <w:rsid w:val="003B607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418A1"/>
    <w:rsid w:val="00441994"/>
    <w:rsid w:val="004435FD"/>
    <w:rsid w:val="004439A2"/>
    <w:rsid w:val="004449A4"/>
    <w:rsid w:val="004470CA"/>
    <w:rsid w:val="00454215"/>
    <w:rsid w:val="00454477"/>
    <w:rsid w:val="00454676"/>
    <w:rsid w:val="00456833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17FB3"/>
    <w:rsid w:val="0052105F"/>
    <w:rsid w:val="005232A2"/>
    <w:rsid w:val="0052772D"/>
    <w:rsid w:val="00531BED"/>
    <w:rsid w:val="0053415B"/>
    <w:rsid w:val="005342DB"/>
    <w:rsid w:val="00537321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2B5D"/>
    <w:rsid w:val="006242A7"/>
    <w:rsid w:val="006244F1"/>
    <w:rsid w:val="0063248A"/>
    <w:rsid w:val="00637BF0"/>
    <w:rsid w:val="00642081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1032"/>
    <w:rsid w:val="00922E70"/>
    <w:rsid w:val="00931A03"/>
    <w:rsid w:val="00932039"/>
    <w:rsid w:val="00933145"/>
    <w:rsid w:val="00937AEE"/>
    <w:rsid w:val="009413D1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A2A"/>
    <w:rsid w:val="00AE2367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1600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0A47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09B2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5E68"/>
    <w:rsid w:val="00F26FE8"/>
    <w:rsid w:val="00F30DB1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80879"/>
    <w:rsid w:val="00F94826"/>
    <w:rsid w:val="00F957EA"/>
    <w:rsid w:val="00F97C81"/>
    <w:rsid w:val="00FA2108"/>
    <w:rsid w:val="00FA2799"/>
    <w:rsid w:val="00FB0EC2"/>
    <w:rsid w:val="00FB3F7F"/>
    <w:rsid w:val="00FC075C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3</cp:revision>
  <cp:lastPrinted>2024-06-19T08:54:00Z</cp:lastPrinted>
  <dcterms:created xsi:type="dcterms:W3CDTF">2024-07-17T09:08:00Z</dcterms:created>
  <dcterms:modified xsi:type="dcterms:W3CDTF">2024-07-17T09:18:00Z</dcterms:modified>
</cp:coreProperties>
</file>